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104" w:rsidRPr="00D47104" w:rsidRDefault="00D47104">
      <w:pPr>
        <w:rPr>
          <w:b/>
          <w:u w:val="single"/>
        </w:rPr>
      </w:pPr>
      <w:r w:rsidRPr="00D47104">
        <w:rPr>
          <w:b/>
          <w:u w:val="single"/>
        </w:rPr>
        <w:t>Příloha č. 2</w:t>
      </w:r>
      <w:r>
        <w:rPr>
          <w:b/>
          <w:u w:val="single"/>
        </w:rPr>
        <w:t xml:space="preserve"> k protokolu z </w:t>
      </w:r>
      <w:proofErr w:type="gramStart"/>
      <w:r>
        <w:rPr>
          <w:b/>
          <w:u w:val="single"/>
        </w:rPr>
        <w:t>PŠ,  ze</w:t>
      </w:r>
      <w:proofErr w:type="gramEnd"/>
      <w:r>
        <w:rPr>
          <w:b/>
          <w:u w:val="single"/>
        </w:rPr>
        <w:t xml:space="preserve"> dne 27.6.2024</w:t>
      </w:r>
      <w:r w:rsidRPr="00D47104">
        <w:rPr>
          <w:b/>
          <w:u w:val="single"/>
        </w:rPr>
        <w:t>:</w:t>
      </w:r>
    </w:p>
    <w:p w:rsidR="00D47104" w:rsidRDefault="00D47104"/>
    <w:p w:rsidR="00EA7A57" w:rsidRPr="00582B26" w:rsidRDefault="00D47104">
      <w:pPr>
        <w:rPr>
          <w:b/>
          <w:sz w:val="24"/>
          <w:szCs w:val="24"/>
          <w:u w:val="single"/>
        </w:rPr>
      </w:pPr>
      <w:r w:rsidRPr="00582B26">
        <w:rPr>
          <w:b/>
          <w:sz w:val="24"/>
          <w:szCs w:val="24"/>
          <w:u w:val="single"/>
        </w:rPr>
        <w:t>BLIŽŠÍ POPIS NÁVRHU ŘEŠENÍ ODSTRANĚNÍ POVODŇOVÉ ŠKODY NA VN ŠIŠMA.</w:t>
      </w:r>
    </w:p>
    <w:p w:rsidR="00D47104" w:rsidRDefault="00D47104" w:rsidP="00D47104">
      <w:pPr>
        <w:jc w:val="both"/>
      </w:pPr>
      <w:r w:rsidRPr="00D47104">
        <w:t xml:space="preserve">Vlivem řešené povodňové události došlo </w:t>
      </w:r>
      <w:r>
        <w:t xml:space="preserve">k významnému poškození MVN Šišma, kdy byla tato nádrž při dosažení extrémních průtoků přelita, zanesena a její technické prvky byly do značné míry destruovány. </w:t>
      </w:r>
    </w:p>
    <w:p w:rsidR="00D47104" w:rsidRDefault="00D47104" w:rsidP="00D47104">
      <w:pPr>
        <w:jc w:val="both"/>
      </w:pPr>
      <w:r>
        <w:t>Aktuální stav je takový, že je nádrž udržována na výrazně snížené hladině, což je dosaženo částečným ubouráním zdiva z bezpečnostního přelivu. Vzhledem k silnému zanesení a nevhodné konstrukci vtoku do spodní výpusti bylo po posouzení situace a vypracování posudku společností VD TBD, a.s. rozhodnuto, že bude takto VN udržována až do doby její rekonstrukce. Ta je na základě zjištěných informací navržena způsobem, který kombinuje prvky opravy do původního stavu s prvky rekonstrukce některých technických objektů do parametrů nových a plně vyhovujících nárokům kladeným na MVN, s přihlédnutím k aktuální (pozměněné) hydrologii.</w:t>
      </w:r>
    </w:p>
    <w:p w:rsidR="00A25534" w:rsidRDefault="00F218CD" w:rsidP="00D47104">
      <w:pPr>
        <w:jc w:val="both"/>
      </w:pPr>
      <w:r w:rsidRPr="00F218CD">
        <w:rPr>
          <w:b/>
          <w:u w:val="single"/>
        </w:rPr>
        <w:t>Je navrženo n</w:t>
      </w:r>
      <w:r w:rsidR="00D47104" w:rsidRPr="00F218CD">
        <w:rPr>
          <w:b/>
          <w:u w:val="single"/>
        </w:rPr>
        <w:t>ásledující</w:t>
      </w:r>
      <w:r w:rsidR="00D47104">
        <w:t>:</w:t>
      </w:r>
    </w:p>
    <w:p w:rsidR="00A25534" w:rsidRDefault="00A25534" w:rsidP="00A25534">
      <w:pPr>
        <w:pStyle w:val="Odstavecseseznamem"/>
        <w:numPr>
          <w:ilvl w:val="0"/>
          <w:numId w:val="1"/>
        </w:numPr>
        <w:jc w:val="both"/>
      </w:pPr>
      <w:r>
        <w:t xml:space="preserve">Vyčerpání </w:t>
      </w:r>
      <w:proofErr w:type="spellStart"/>
      <w:r>
        <w:t>neodvodnitelné</w:t>
      </w:r>
      <w:proofErr w:type="spellEnd"/>
      <w:r>
        <w:t xml:space="preserve"> části plochy zátopy a ubourání nevyhovujícího vtoku do spodní výpusti, čímž může být dosaženo převádění průtoků zátopou na nižší hladině</w:t>
      </w:r>
      <w:r w:rsidR="00F218CD">
        <w:t xml:space="preserve"> (než je drženo nyní)</w:t>
      </w:r>
      <w:r>
        <w:t xml:space="preserve">, postupné odvodnění sedimentů a příprava na následnou těžbu nánosů. Nezbytnou návazností na tento krok bude </w:t>
      </w:r>
      <w:r w:rsidRPr="00F218CD">
        <w:t xml:space="preserve">i </w:t>
      </w:r>
      <w:r w:rsidRPr="00F218CD">
        <w:rPr>
          <w:b/>
        </w:rPr>
        <w:t>celková rekonstrukce spodní výpusti</w:t>
      </w:r>
      <w:r w:rsidR="00F218CD">
        <w:t>, uzávěru</w:t>
      </w:r>
      <w:r>
        <w:t xml:space="preserve"> a požeráku, která již musí být provedena </w:t>
      </w:r>
      <w:r w:rsidR="00F218CD">
        <w:t xml:space="preserve">do </w:t>
      </w:r>
      <w:r>
        <w:t>vyhovující</w:t>
      </w:r>
      <w:r w:rsidR="00F218CD">
        <w:t>ch</w:t>
      </w:r>
      <w:r>
        <w:t xml:space="preserve"> a trvale udržitelný</w:t>
      </w:r>
      <w:r w:rsidR="00F218CD">
        <w:t>ch</w:t>
      </w:r>
      <w:r>
        <w:t xml:space="preserve"> </w:t>
      </w:r>
      <w:r w:rsidR="00F218CD">
        <w:t>parametrů</w:t>
      </w:r>
      <w:r>
        <w:t xml:space="preserve">, </w:t>
      </w:r>
      <w:r w:rsidRPr="00F218CD">
        <w:t xml:space="preserve">proto navrhujeme objekt </w:t>
      </w:r>
      <w:proofErr w:type="spellStart"/>
      <w:r w:rsidRPr="00F218CD">
        <w:t>přeřešit</w:t>
      </w:r>
      <w:proofErr w:type="spellEnd"/>
      <w:r w:rsidRPr="00F218CD">
        <w:t xml:space="preserve"> formou </w:t>
      </w:r>
      <w:r w:rsidRPr="00F218CD">
        <w:rPr>
          <w:highlight w:val="lightGray"/>
        </w:rPr>
        <w:t xml:space="preserve">investice – </w:t>
      </w:r>
      <w:r w:rsidRPr="00F218CD">
        <w:rPr>
          <w:highlight w:val="lightGray"/>
          <w:u w:val="single"/>
        </w:rPr>
        <w:t>viz položka protokolu A12</w:t>
      </w:r>
      <w:r>
        <w:t>.</w:t>
      </w:r>
    </w:p>
    <w:p w:rsidR="009D3088" w:rsidRPr="009D3088" w:rsidRDefault="009D3088" w:rsidP="009D3088">
      <w:pPr>
        <w:pStyle w:val="Odstavecseseznamem"/>
        <w:jc w:val="both"/>
        <w:rPr>
          <w:i/>
        </w:rPr>
      </w:pPr>
      <w:r w:rsidRPr="009D3088">
        <w:rPr>
          <w:i/>
        </w:rPr>
        <w:t>Pozn.: Spolu s řešením rekonstrukce spodní výpusti bude otevřena i velká část ochranné hráze a dojde tedy k definitivní sanaci provizorně zajištěných míst po přelití VD.</w:t>
      </w:r>
    </w:p>
    <w:p w:rsidR="00A25534" w:rsidRDefault="00A25534" w:rsidP="00A25534">
      <w:pPr>
        <w:pStyle w:val="Odstavecseseznamem"/>
        <w:jc w:val="both"/>
      </w:pPr>
    </w:p>
    <w:p w:rsidR="00A25534" w:rsidRDefault="00D47104" w:rsidP="00A25534">
      <w:pPr>
        <w:pStyle w:val="Odstavecseseznamem"/>
        <w:numPr>
          <w:ilvl w:val="0"/>
          <w:numId w:val="1"/>
        </w:numPr>
        <w:jc w:val="both"/>
      </w:pPr>
      <w:r w:rsidRPr="00582B26">
        <w:rPr>
          <w:b/>
        </w:rPr>
        <w:t>Odstranění sedimentů z</w:t>
      </w:r>
      <w:r w:rsidR="00F218CD" w:rsidRPr="00582B26">
        <w:rPr>
          <w:b/>
        </w:rPr>
        <w:t> </w:t>
      </w:r>
      <w:r w:rsidRPr="00582B26">
        <w:rPr>
          <w:b/>
        </w:rPr>
        <w:t>VN</w:t>
      </w:r>
      <w:r w:rsidR="00F218CD">
        <w:t xml:space="preserve"> </w:t>
      </w:r>
      <w:r w:rsidR="0067325F">
        <w:t xml:space="preserve">po </w:t>
      </w:r>
      <w:r w:rsidR="00F218CD">
        <w:t>odvodnění plochy zátopy</w:t>
      </w:r>
      <w:r w:rsidR="0067325F">
        <w:t>,</w:t>
      </w:r>
      <w:r w:rsidR="00A25534">
        <w:t xml:space="preserve"> čímž dojde k</w:t>
      </w:r>
      <w:r w:rsidR="0067325F">
        <w:t> </w:t>
      </w:r>
      <w:r w:rsidR="00A25534">
        <w:t>obnovení</w:t>
      </w:r>
      <w:r w:rsidR="0067325F">
        <w:t xml:space="preserve"> původního</w:t>
      </w:r>
      <w:r w:rsidR="00A25534">
        <w:t xml:space="preserve"> </w:t>
      </w:r>
      <w:r w:rsidR="0067325F">
        <w:t xml:space="preserve">objemu </w:t>
      </w:r>
      <w:r w:rsidR="00A25534">
        <w:t>zátopy díla. Kubatura byla stanovena odhadem, dle zjištěné úrovně sedimentu. Viz položka A4 protokolu k PŠ.</w:t>
      </w:r>
    </w:p>
    <w:p w:rsidR="00A25534" w:rsidRDefault="00A25534" w:rsidP="00A25534">
      <w:pPr>
        <w:pStyle w:val="Odstavecseseznamem"/>
      </w:pPr>
    </w:p>
    <w:p w:rsidR="00A25534" w:rsidRDefault="009D3088" w:rsidP="00A25534">
      <w:pPr>
        <w:pStyle w:val="Odstavecseseznamem"/>
        <w:numPr>
          <w:ilvl w:val="0"/>
          <w:numId w:val="1"/>
        </w:numPr>
        <w:jc w:val="both"/>
      </w:pPr>
      <w:r w:rsidRPr="00582B26">
        <w:rPr>
          <w:b/>
        </w:rPr>
        <w:t>Rekonstrukce bezpečnostního přelivu</w:t>
      </w:r>
      <w:r w:rsidR="002B6E4D">
        <w:rPr>
          <w:b/>
        </w:rPr>
        <w:t xml:space="preserve"> a odpadního koryta</w:t>
      </w:r>
      <w:r>
        <w:t>, kterou navrhujeme rovněž provést na nové a technicky vyhovující návrhové parametry</w:t>
      </w:r>
      <w:r w:rsidR="00582B26">
        <w:t xml:space="preserve"> formou </w:t>
      </w:r>
      <w:r w:rsidRPr="00582B26">
        <w:rPr>
          <w:highlight w:val="lightGray"/>
        </w:rPr>
        <w:t>investic</w:t>
      </w:r>
      <w:r w:rsidR="00582B26" w:rsidRPr="00582B26">
        <w:rPr>
          <w:highlight w:val="lightGray"/>
        </w:rPr>
        <w:t>e</w:t>
      </w:r>
      <w:r>
        <w:t>, nikoliv oprav</w:t>
      </w:r>
      <w:r w:rsidR="00582B26">
        <w:t>o</w:t>
      </w:r>
      <w:r>
        <w:t xml:space="preserve">u do původního stavu. </w:t>
      </w:r>
      <w:r w:rsidRPr="00CF0245">
        <w:t xml:space="preserve">Nákladově je tato věc podchycena </w:t>
      </w:r>
      <w:r w:rsidRPr="00CF0245">
        <w:rPr>
          <w:highlight w:val="lightGray"/>
        </w:rPr>
        <w:t>v položce A13 protokolu</w:t>
      </w:r>
      <w:r w:rsidRPr="00CF0245">
        <w:t>.</w:t>
      </w:r>
    </w:p>
    <w:p w:rsidR="009D3088" w:rsidRDefault="009D3088" w:rsidP="009D3088">
      <w:pPr>
        <w:pStyle w:val="Odstavecseseznamem"/>
      </w:pPr>
    </w:p>
    <w:p w:rsidR="009D3088" w:rsidRDefault="009D3088" w:rsidP="00A25534">
      <w:pPr>
        <w:pStyle w:val="Odstavecseseznamem"/>
        <w:numPr>
          <w:ilvl w:val="0"/>
          <w:numId w:val="1"/>
        </w:numPr>
        <w:jc w:val="both"/>
      </w:pPr>
      <w:r>
        <w:t xml:space="preserve">Po provedení výše uvedených prací </w:t>
      </w:r>
      <w:r w:rsidR="00F218CD">
        <w:t xml:space="preserve">na technických objektech </w:t>
      </w:r>
      <w:r>
        <w:t xml:space="preserve">se předpokládá finální </w:t>
      </w:r>
      <w:r w:rsidRPr="00582B26">
        <w:rPr>
          <w:b/>
        </w:rPr>
        <w:t>úprava hráze</w:t>
      </w:r>
      <w:r w:rsidR="00F218CD" w:rsidRPr="00582B26">
        <w:rPr>
          <w:b/>
        </w:rPr>
        <w:t xml:space="preserve"> na požadovanou úroveň</w:t>
      </w:r>
      <w:r w:rsidRPr="00582B26">
        <w:rPr>
          <w:b/>
        </w:rPr>
        <w:t>, oprava opevnění</w:t>
      </w:r>
      <w:r w:rsidR="00F218CD" w:rsidRPr="00582B26">
        <w:rPr>
          <w:b/>
        </w:rPr>
        <w:t>, patního drénu</w:t>
      </w:r>
      <w:r w:rsidR="00F218CD">
        <w:t>, položky A5 a A11 protokolu.</w:t>
      </w:r>
    </w:p>
    <w:p w:rsidR="00F218CD" w:rsidRDefault="00F218CD" w:rsidP="00F218CD">
      <w:pPr>
        <w:pStyle w:val="Odstavecseseznamem"/>
      </w:pPr>
    </w:p>
    <w:p w:rsidR="00F218CD" w:rsidRDefault="00F218CD" w:rsidP="00A25534">
      <w:pPr>
        <w:pStyle w:val="Odstavecseseznamem"/>
        <w:numPr>
          <w:ilvl w:val="0"/>
          <w:numId w:val="1"/>
        </w:numPr>
        <w:jc w:val="both"/>
      </w:pPr>
      <w:r>
        <w:t xml:space="preserve">Dále bude provedena </w:t>
      </w:r>
      <w:r w:rsidRPr="00582B26">
        <w:rPr>
          <w:b/>
        </w:rPr>
        <w:t>oprava koryt</w:t>
      </w:r>
      <w:r w:rsidR="002B6E4D">
        <w:rPr>
          <w:b/>
        </w:rPr>
        <w:t>a</w:t>
      </w:r>
      <w:r w:rsidRPr="00582B26">
        <w:rPr>
          <w:b/>
        </w:rPr>
        <w:t xml:space="preserve"> od spodní </w:t>
      </w:r>
      <w:proofErr w:type="gramStart"/>
      <w:r w:rsidRPr="00582B26">
        <w:rPr>
          <w:b/>
        </w:rPr>
        <w:t>výpusti  –</w:t>
      </w:r>
      <w:proofErr w:type="gramEnd"/>
      <w:r w:rsidRPr="00582B26">
        <w:rPr>
          <w:b/>
        </w:rPr>
        <w:t xml:space="preserve"> po soutok se Šišemkou</w:t>
      </w:r>
      <w:r>
        <w:t>, tzn. položky A3 a A19 protokolu z PŠ.</w:t>
      </w:r>
    </w:p>
    <w:tbl>
      <w:tblPr>
        <w:tblStyle w:val="Mkatabulky"/>
        <w:tblW w:w="9209" w:type="dxa"/>
        <w:tblLook w:val="04A0" w:firstRow="1" w:lastRow="0" w:firstColumn="1" w:lastColumn="0" w:noHBand="0" w:noVBand="1"/>
      </w:tblPr>
      <w:tblGrid>
        <w:gridCol w:w="1059"/>
        <w:gridCol w:w="4181"/>
        <w:gridCol w:w="2126"/>
        <w:gridCol w:w="1843"/>
      </w:tblGrid>
      <w:tr w:rsidR="000E7764" w:rsidTr="00F04D66">
        <w:tc>
          <w:tcPr>
            <w:tcW w:w="9209" w:type="dxa"/>
            <w:gridSpan w:val="4"/>
          </w:tcPr>
          <w:p w:rsidR="000E7764" w:rsidRPr="000E7764" w:rsidRDefault="000E7764" w:rsidP="00F218CD">
            <w:pPr>
              <w:jc w:val="both"/>
              <w:rPr>
                <w:b/>
              </w:rPr>
            </w:pPr>
            <w:r w:rsidRPr="000E7764">
              <w:rPr>
                <w:b/>
              </w:rPr>
              <w:t>OPRAVY</w:t>
            </w:r>
          </w:p>
        </w:tc>
      </w:tr>
      <w:tr w:rsidR="00582B26" w:rsidTr="00582B26">
        <w:tc>
          <w:tcPr>
            <w:tcW w:w="1059" w:type="dxa"/>
          </w:tcPr>
          <w:p w:rsidR="00582B26" w:rsidRDefault="00582B26" w:rsidP="00F218CD">
            <w:pPr>
              <w:jc w:val="both"/>
            </w:pPr>
            <w:r>
              <w:t>POLOŽKA</w:t>
            </w:r>
          </w:p>
        </w:tc>
        <w:tc>
          <w:tcPr>
            <w:tcW w:w="4181" w:type="dxa"/>
          </w:tcPr>
          <w:p w:rsidR="00582B26" w:rsidRDefault="00582B26" w:rsidP="00F218CD">
            <w:pPr>
              <w:jc w:val="both"/>
            </w:pPr>
            <w:r>
              <w:t>POPIS</w:t>
            </w:r>
          </w:p>
        </w:tc>
        <w:tc>
          <w:tcPr>
            <w:tcW w:w="2126" w:type="dxa"/>
          </w:tcPr>
          <w:p w:rsidR="00582B26" w:rsidRDefault="00582B26" w:rsidP="00F218CD">
            <w:pPr>
              <w:jc w:val="both"/>
            </w:pPr>
            <w:r>
              <w:t>NÁKLADY (tis. Kč)</w:t>
            </w:r>
          </w:p>
        </w:tc>
        <w:tc>
          <w:tcPr>
            <w:tcW w:w="1843" w:type="dxa"/>
          </w:tcPr>
          <w:p w:rsidR="00582B26" w:rsidRDefault="00582B26" w:rsidP="00F218CD">
            <w:pPr>
              <w:jc w:val="both"/>
            </w:pPr>
            <w:r>
              <w:t>POZNÁMKA</w:t>
            </w:r>
          </w:p>
        </w:tc>
      </w:tr>
      <w:tr w:rsidR="00582B26" w:rsidTr="00582B26">
        <w:tc>
          <w:tcPr>
            <w:tcW w:w="1059" w:type="dxa"/>
          </w:tcPr>
          <w:p w:rsidR="00582B26" w:rsidRDefault="00582B26" w:rsidP="00F218CD">
            <w:pPr>
              <w:jc w:val="both"/>
            </w:pPr>
            <w:r>
              <w:t>A3</w:t>
            </w:r>
          </w:p>
        </w:tc>
        <w:tc>
          <w:tcPr>
            <w:tcW w:w="4181" w:type="dxa"/>
          </w:tcPr>
          <w:p w:rsidR="00582B26" w:rsidRDefault="00582B26" w:rsidP="00F218CD">
            <w:pPr>
              <w:jc w:val="both"/>
            </w:pPr>
            <w:r>
              <w:t>Koryto od přelivu a spodní výpusti</w:t>
            </w:r>
          </w:p>
        </w:tc>
        <w:tc>
          <w:tcPr>
            <w:tcW w:w="2126" w:type="dxa"/>
          </w:tcPr>
          <w:p w:rsidR="00582B26" w:rsidRDefault="00582B26" w:rsidP="00F218CD">
            <w:pPr>
              <w:jc w:val="both"/>
            </w:pPr>
            <w:r>
              <w:t>608</w:t>
            </w:r>
          </w:p>
        </w:tc>
        <w:tc>
          <w:tcPr>
            <w:tcW w:w="1843" w:type="dxa"/>
          </w:tcPr>
          <w:p w:rsidR="00582B26" w:rsidRDefault="00582B26" w:rsidP="00F218CD">
            <w:pPr>
              <w:jc w:val="both"/>
            </w:pPr>
          </w:p>
        </w:tc>
      </w:tr>
      <w:tr w:rsidR="00582B26" w:rsidTr="00582B26">
        <w:tc>
          <w:tcPr>
            <w:tcW w:w="1059" w:type="dxa"/>
          </w:tcPr>
          <w:p w:rsidR="00582B26" w:rsidRDefault="00582B26" w:rsidP="00F218CD">
            <w:pPr>
              <w:jc w:val="both"/>
            </w:pPr>
            <w:r>
              <w:t>A4</w:t>
            </w:r>
          </w:p>
        </w:tc>
        <w:tc>
          <w:tcPr>
            <w:tcW w:w="4181" w:type="dxa"/>
          </w:tcPr>
          <w:p w:rsidR="00582B26" w:rsidRDefault="00582B26" w:rsidP="00F218CD">
            <w:pPr>
              <w:jc w:val="both"/>
            </w:pPr>
            <w:r>
              <w:t>Odstranění sedimentů z VN a SV</w:t>
            </w:r>
          </w:p>
        </w:tc>
        <w:tc>
          <w:tcPr>
            <w:tcW w:w="2126" w:type="dxa"/>
          </w:tcPr>
          <w:p w:rsidR="00582B26" w:rsidRDefault="00582B26" w:rsidP="00F218CD">
            <w:pPr>
              <w:jc w:val="both"/>
            </w:pPr>
            <w:r>
              <w:t xml:space="preserve">20.425 </w:t>
            </w:r>
          </w:p>
        </w:tc>
        <w:tc>
          <w:tcPr>
            <w:tcW w:w="1843" w:type="dxa"/>
          </w:tcPr>
          <w:p w:rsidR="00582B26" w:rsidRDefault="00582B26" w:rsidP="00F218CD">
            <w:pPr>
              <w:jc w:val="both"/>
            </w:pPr>
          </w:p>
        </w:tc>
      </w:tr>
      <w:tr w:rsidR="00582B26" w:rsidTr="00582B26">
        <w:tc>
          <w:tcPr>
            <w:tcW w:w="1059" w:type="dxa"/>
          </w:tcPr>
          <w:p w:rsidR="00582B26" w:rsidRDefault="00582B26" w:rsidP="00F218CD">
            <w:pPr>
              <w:jc w:val="both"/>
            </w:pPr>
            <w:r>
              <w:t>A5</w:t>
            </w:r>
          </w:p>
        </w:tc>
        <w:tc>
          <w:tcPr>
            <w:tcW w:w="4181" w:type="dxa"/>
          </w:tcPr>
          <w:p w:rsidR="00582B26" w:rsidRDefault="00582B26" w:rsidP="00F218CD">
            <w:pPr>
              <w:jc w:val="both"/>
            </w:pPr>
            <w:r>
              <w:t>Opevnění návodního líce hráze</w:t>
            </w:r>
          </w:p>
        </w:tc>
        <w:tc>
          <w:tcPr>
            <w:tcW w:w="2126" w:type="dxa"/>
          </w:tcPr>
          <w:p w:rsidR="00582B26" w:rsidRDefault="002B536F" w:rsidP="00F218CD">
            <w:pPr>
              <w:jc w:val="both"/>
            </w:pPr>
            <w:r>
              <w:t>2</w:t>
            </w:r>
            <w:r w:rsidR="00582B26">
              <w:t>.</w:t>
            </w:r>
            <w:r>
              <w:t>16</w:t>
            </w:r>
            <w:r w:rsidR="00582B26">
              <w:t>0</w:t>
            </w:r>
          </w:p>
        </w:tc>
        <w:tc>
          <w:tcPr>
            <w:tcW w:w="1843" w:type="dxa"/>
          </w:tcPr>
          <w:p w:rsidR="00582B26" w:rsidRDefault="00582B26" w:rsidP="00F218CD">
            <w:pPr>
              <w:jc w:val="both"/>
            </w:pPr>
          </w:p>
        </w:tc>
      </w:tr>
      <w:tr w:rsidR="00582B26" w:rsidTr="00582B26">
        <w:tc>
          <w:tcPr>
            <w:tcW w:w="1059" w:type="dxa"/>
          </w:tcPr>
          <w:p w:rsidR="00582B26" w:rsidRDefault="00582B26" w:rsidP="00F218CD">
            <w:pPr>
              <w:jc w:val="both"/>
            </w:pPr>
            <w:r>
              <w:t>A11</w:t>
            </w:r>
          </w:p>
        </w:tc>
        <w:tc>
          <w:tcPr>
            <w:tcW w:w="4181" w:type="dxa"/>
          </w:tcPr>
          <w:p w:rsidR="00582B26" w:rsidRDefault="00582B26" w:rsidP="00F218CD">
            <w:pPr>
              <w:jc w:val="both"/>
            </w:pPr>
            <w:r>
              <w:t>Oprava hráze VN vč. patního drénu</w:t>
            </w:r>
          </w:p>
        </w:tc>
        <w:tc>
          <w:tcPr>
            <w:tcW w:w="2126" w:type="dxa"/>
          </w:tcPr>
          <w:p w:rsidR="00582B26" w:rsidRDefault="00CF0245" w:rsidP="00F218CD">
            <w:pPr>
              <w:jc w:val="both"/>
            </w:pPr>
            <w:r>
              <w:t>4</w:t>
            </w:r>
            <w:r w:rsidR="00582B26">
              <w:t>.</w:t>
            </w:r>
            <w:r>
              <w:t>0</w:t>
            </w:r>
            <w:r w:rsidR="00582B26">
              <w:t>00</w:t>
            </w:r>
          </w:p>
        </w:tc>
        <w:tc>
          <w:tcPr>
            <w:tcW w:w="1843" w:type="dxa"/>
          </w:tcPr>
          <w:p w:rsidR="00582B26" w:rsidRDefault="00582B26" w:rsidP="00F218CD">
            <w:pPr>
              <w:jc w:val="both"/>
            </w:pPr>
          </w:p>
        </w:tc>
      </w:tr>
      <w:tr w:rsidR="00582B26" w:rsidTr="00582B26">
        <w:tc>
          <w:tcPr>
            <w:tcW w:w="1059" w:type="dxa"/>
          </w:tcPr>
          <w:p w:rsidR="00582B26" w:rsidRDefault="000E7764" w:rsidP="00F218CD">
            <w:pPr>
              <w:jc w:val="both"/>
            </w:pPr>
            <w:r>
              <w:t>A19</w:t>
            </w:r>
          </w:p>
        </w:tc>
        <w:tc>
          <w:tcPr>
            <w:tcW w:w="4181" w:type="dxa"/>
          </w:tcPr>
          <w:p w:rsidR="00582B26" w:rsidRDefault="000E7764" w:rsidP="00F218CD">
            <w:pPr>
              <w:jc w:val="both"/>
            </w:pPr>
            <w:r>
              <w:t>Odpadní koryto pod VN</w:t>
            </w:r>
          </w:p>
        </w:tc>
        <w:tc>
          <w:tcPr>
            <w:tcW w:w="2126" w:type="dxa"/>
          </w:tcPr>
          <w:p w:rsidR="00582B26" w:rsidRDefault="000E7764" w:rsidP="00F218CD">
            <w:pPr>
              <w:jc w:val="both"/>
            </w:pPr>
            <w:r>
              <w:t>1.312</w:t>
            </w:r>
          </w:p>
        </w:tc>
        <w:tc>
          <w:tcPr>
            <w:tcW w:w="1843" w:type="dxa"/>
          </w:tcPr>
          <w:p w:rsidR="00582B26" w:rsidRDefault="00582B26" w:rsidP="00F218CD">
            <w:pPr>
              <w:jc w:val="both"/>
            </w:pPr>
          </w:p>
        </w:tc>
      </w:tr>
      <w:tr w:rsidR="000E7764" w:rsidTr="00582B26">
        <w:tc>
          <w:tcPr>
            <w:tcW w:w="1059" w:type="dxa"/>
          </w:tcPr>
          <w:p w:rsidR="000E7764" w:rsidRPr="000E7764" w:rsidRDefault="000E7764" w:rsidP="00F218CD">
            <w:pPr>
              <w:jc w:val="both"/>
              <w:rPr>
                <w:b/>
              </w:rPr>
            </w:pPr>
            <w:r w:rsidRPr="000E7764">
              <w:rPr>
                <w:b/>
              </w:rPr>
              <w:t>CELKEM</w:t>
            </w:r>
          </w:p>
        </w:tc>
        <w:tc>
          <w:tcPr>
            <w:tcW w:w="4181" w:type="dxa"/>
          </w:tcPr>
          <w:p w:rsidR="000E7764" w:rsidRPr="000E7764" w:rsidRDefault="000E7764" w:rsidP="00F218CD">
            <w:pPr>
              <w:jc w:val="both"/>
              <w:rPr>
                <w:b/>
              </w:rPr>
            </w:pPr>
            <w:r w:rsidRPr="000E7764">
              <w:rPr>
                <w:b/>
              </w:rPr>
              <w:t xml:space="preserve">NÁKLADY NA OPRAVY </w:t>
            </w:r>
          </w:p>
        </w:tc>
        <w:tc>
          <w:tcPr>
            <w:tcW w:w="2126" w:type="dxa"/>
          </w:tcPr>
          <w:p w:rsidR="000E7764" w:rsidRPr="000E7764" w:rsidRDefault="000E7764" w:rsidP="00F218CD">
            <w:pPr>
              <w:jc w:val="both"/>
              <w:rPr>
                <w:b/>
              </w:rPr>
            </w:pPr>
            <w:r w:rsidRPr="000E7764">
              <w:rPr>
                <w:b/>
              </w:rPr>
              <w:t>2</w:t>
            </w:r>
            <w:r w:rsidR="00CF0245">
              <w:rPr>
                <w:b/>
              </w:rPr>
              <w:t>8</w:t>
            </w:r>
            <w:r w:rsidRPr="000E7764">
              <w:rPr>
                <w:b/>
              </w:rPr>
              <w:t>.</w:t>
            </w:r>
            <w:r w:rsidR="00CF0245">
              <w:rPr>
                <w:b/>
              </w:rPr>
              <w:t>5</w:t>
            </w:r>
            <w:r w:rsidR="002B536F">
              <w:rPr>
                <w:b/>
              </w:rPr>
              <w:t>0</w:t>
            </w:r>
            <w:r w:rsidRPr="000E7764">
              <w:rPr>
                <w:b/>
              </w:rPr>
              <w:t>5 tis. Kč</w:t>
            </w:r>
          </w:p>
        </w:tc>
        <w:tc>
          <w:tcPr>
            <w:tcW w:w="1843" w:type="dxa"/>
          </w:tcPr>
          <w:p w:rsidR="000E7764" w:rsidRPr="000E7764" w:rsidRDefault="000E7764" w:rsidP="00F218CD">
            <w:pPr>
              <w:jc w:val="both"/>
              <w:rPr>
                <w:b/>
              </w:rPr>
            </w:pPr>
          </w:p>
        </w:tc>
      </w:tr>
    </w:tbl>
    <w:p w:rsidR="00F218CD" w:rsidRDefault="00F218CD" w:rsidP="00F218CD">
      <w:pPr>
        <w:jc w:val="both"/>
      </w:pPr>
    </w:p>
    <w:tbl>
      <w:tblPr>
        <w:tblStyle w:val="Mkatabulky"/>
        <w:tblW w:w="9209" w:type="dxa"/>
        <w:tblLook w:val="04A0" w:firstRow="1" w:lastRow="0" w:firstColumn="1" w:lastColumn="0" w:noHBand="0" w:noVBand="1"/>
      </w:tblPr>
      <w:tblGrid>
        <w:gridCol w:w="1059"/>
        <w:gridCol w:w="4181"/>
        <w:gridCol w:w="2126"/>
        <w:gridCol w:w="1843"/>
      </w:tblGrid>
      <w:tr w:rsidR="000E7764" w:rsidTr="002843DD">
        <w:tc>
          <w:tcPr>
            <w:tcW w:w="9209" w:type="dxa"/>
            <w:gridSpan w:val="4"/>
          </w:tcPr>
          <w:p w:rsidR="000E7764" w:rsidRPr="000E7764" w:rsidRDefault="000E7764" w:rsidP="002843DD">
            <w:pPr>
              <w:jc w:val="both"/>
              <w:rPr>
                <w:b/>
              </w:rPr>
            </w:pPr>
            <w:r>
              <w:rPr>
                <w:b/>
              </w:rPr>
              <w:lastRenderedPageBreak/>
              <w:t>INVESTICE</w:t>
            </w:r>
          </w:p>
        </w:tc>
      </w:tr>
      <w:tr w:rsidR="000E7764" w:rsidTr="002843DD">
        <w:tc>
          <w:tcPr>
            <w:tcW w:w="1059" w:type="dxa"/>
          </w:tcPr>
          <w:p w:rsidR="000E7764" w:rsidRDefault="000E7764" w:rsidP="002843DD">
            <w:pPr>
              <w:jc w:val="both"/>
            </w:pPr>
            <w:r>
              <w:t>POLOŽKA</w:t>
            </w:r>
          </w:p>
        </w:tc>
        <w:tc>
          <w:tcPr>
            <w:tcW w:w="4181" w:type="dxa"/>
          </w:tcPr>
          <w:p w:rsidR="000E7764" w:rsidRDefault="000E7764" w:rsidP="002843DD">
            <w:pPr>
              <w:jc w:val="both"/>
            </w:pPr>
            <w:r>
              <w:t>POPIS</w:t>
            </w:r>
          </w:p>
        </w:tc>
        <w:tc>
          <w:tcPr>
            <w:tcW w:w="2126" w:type="dxa"/>
          </w:tcPr>
          <w:p w:rsidR="000E7764" w:rsidRDefault="000E7764" w:rsidP="002843DD">
            <w:pPr>
              <w:jc w:val="both"/>
            </w:pPr>
            <w:r>
              <w:t>NÁKLADY (tis. Kč)</w:t>
            </w:r>
          </w:p>
        </w:tc>
        <w:tc>
          <w:tcPr>
            <w:tcW w:w="1843" w:type="dxa"/>
          </w:tcPr>
          <w:p w:rsidR="000E7764" w:rsidRDefault="000E7764" w:rsidP="002843DD">
            <w:pPr>
              <w:jc w:val="both"/>
            </w:pPr>
            <w:r>
              <w:t>POZNÁMKA</w:t>
            </w:r>
          </w:p>
        </w:tc>
      </w:tr>
      <w:tr w:rsidR="000E7764" w:rsidTr="002843DD">
        <w:tc>
          <w:tcPr>
            <w:tcW w:w="1059" w:type="dxa"/>
          </w:tcPr>
          <w:p w:rsidR="000E7764" w:rsidRDefault="000E7764" w:rsidP="002843DD">
            <w:pPr>
              <w:jc w:val="both"/>
            </w:pPr>
            <w:r>
              <w:t>A12</w:t>
            </w:r>
          </w:p>
        </w:tc>
        <w:tc>
          <w:tcPr>
            <w:tcW w:w="4181" w:type="dxa"/>
          </w:tcPr>
          <w:p w:rsidR="000E7764" w:rsidRDefault="000E7764" w:rsidP="002843DD">
            <w:pPr>
              <w:jc w:val="both"/>
            </w:pPr>
            <w:r>
              <w:t>Výpust, uzávěr a objekt (požerák)</w:t>
            </w:r>
          </w:p>
        </w:tc>
        <w:tc>
          <w:tcPr>
            <w:tcW w:w="2126" w:type="dxa"/>
          </w:tcPr>
          <w:p w:rsidR="000E7764" w:rsidRDefault="00CF0245" w:rsidP="002843DD">
            <w:pPr>
              <w:jc w:val="both"/>
            </w:pPr>
            <w:r>
              <w:t>3</w:t>
            </w:r>
            <w:r w:rsidR="000E7764">
              <w:t>.</w:t>
            </w:r>
            <w:r>
              <w:t>3</w:t>
            </w:r>
            <w:r w:rsidR="000E7764">
              <w:t>00</w:t>
            </w:r>
          </w:p>
        </w:tc>
        <w:tc>
          <w:tcPr>
            <w:tcW w:w="1843" w:type="dxa"/>
          </w:tcPr>
          <w:p w:rsidR="000E7764" w:rsidRDefault="000E7764" w:rsidP="002843DD">
            <w:pPr>
              <w:jc w:val="both"/>
            </w:pPr>
          </w:p>
        </w:tc>
      </w:tr>
      <w:tr w:rsidR="000E7764" w:rsidTr="002843DD">
        <w:tc>
          <w:tcPr>
            <w:tcW w:w="1059" w:type="dxa"/>
          </w:tcPr>
          <w:p w:rsidR="000E7764" w:rsidRDefault="000E7764" w:rsidP="002843DD">
            <w:pPr>
              <w:jc w:val="both"/>
            </w:pPr>
            <w:r>
              <w:t>A13</w:t>
            </w:r>
          </w:p>
        </w:tc>
        <w:tc>
          <w:tcPr>
            <w:tcW w:w="4181" w:type="dxa"/>
          </w:tcPr>
          <w:p w:rsidR="000E7764" w:rsidRDefault="000E7764" w:rsidP="002843DD">
            <w:pPr>
              <w:jc w:val="both"/>
            </w:pPr>
            <w:r>
              <w:t>Bezpečnostní přeliv</w:t>
            </w:r>
          </w:p>
        </w:tc>
        <w:tc>
          <w:tcPr>
            <w:tcW w:w="2126" w:type="dxa"/>
          </w:tcPr>
          <w:p w:rsidR="000E7764" w:rsidRDefault="00CF0245" w:rsidP="002843DD">
            <w:pPr>
              <w:jc w:val="both"/>
            </w:pPr>
            <w:r>
              <w:t>7</w:t>
            </w:r>
            <w:r w:rsidR="000E7764">
              <w:t>.000</w:t>
            </w:r>
          </w:p>
        </w:tc>
        <w:tc>
          <w:tcPr>
            <w:tcW w:w="1843" w:type="dxa"/>
          </w:tcPr>
          <w:p w:rsidR="000E7764" w:rsidRDefault="000E7764" w:rsidP="002843DD">
            <w:pPr>
              <w:jc w:val="both"/>
            </w:pPr>
          </w:p>
        </w:tc>
      </w:tr>
      <w:tr w:rsidR="000E7764" w:rsidTr="002843DD">
        <w:tc>
          <w:tcPr>
            <w:tcW w:w="1059" w:type="dxa"/>
          </w:tcPr>
          <w:p w:rsidR="000E7764" w:rsidRDefault="000E7764" w:rsidP="002843DD">
            <w:pPr>
              <w:jc w:val="both"/>
            </w:pPr>
          </w:p>
        </w:tc>
        <w:tc>
          <w:tcPr>
            <w:tcW w:w="4181" w:type="dxa"/>
          </w:tcPr>
          <w:p w:rsidR="000E7764" w:rsidRDefault="000E7764" w:rsidP="002843DD">
            <w:pPr>
              <w:jc w:val="both"/>
            </w:pPr>
          </w:p>
        </w:tc>
        <w:tc>
          <w:tcPr>
            <w:tcW w:w="2126" w:type="dxa"/>
          </w:tcPr>
          <w:p w:rsidR="000E7764" w:rsidRDefault="000E7764" w:rsidP="002843DD">
            <w:pPr>
              <w:jc w:val="both"/>
            </w:pPr>
          </w:p>
        </w:tc>
        <w:tc>
          <w:tcPr>
            <w:tcW w:w="1843" w:type="dxa"/>
          </w:tcPr>
          <w:p w:rsidR="000E7764" w:rsidRDefault="000E7764" w:rsidP="002843DD">
            <w:pPr>
              <w:jc w:val="both"/>
            </w:pPr>
          </w:p>
        </w:tc>
      </w:tr>
      <w:tr w:rsidR="000E7764" w:rsidTr="002843DD">
        <w:tc>
          <w:tcPr>
            <w:tcW w:w="1059" w:type="dxa"/>
          </w:tcPr>
          <w:p w:rsidR="000E7764" w:rsidRDefault="000E7764" w:rsidP="002843DD">
            <w:pPr>
              <w:jc w:val="both"/>
            </w:pPr>
          </w:p>
        </w:tc>
        <w:tc>
          <w:tcPr>
            <w:tcW w:w="4181" w:type="dxa"/>
          </w:tcPr>
          <w:p w:rsidR="000E7764" w:rsidRDefault="000E7764" w:rsidP="002843DD">
            <w:pPr>
              <w:jc w:val="both"/>
            </w:pPr>
          </w:p>
        </w:tc>
        <w:tc>
          <w:tcPr>
            <w:tcW w:w="2126" w:type="dxa"/>
          </w:tcPr>
          <w:p w:rsidR="000E7764" w:rsidRDefault="000E7764" w:rsidP="002843DD">
            <w:pPr>
              <w:jc w:val="both"/>
            </w:pPr>
          </w:p>
        </w:tc>
        <w:tc>
          <w:tcPr>
            <w:tcW w:w="1843" w:type="dxa"/>
          </w:tcPr>
          <w:p w:rsidR="000E7764" w:rsidRDefault="000E7764" w:rsidP="002843DD">
            <w:pPr>
              <w:jc w:val="both"/>
            </w:pPr>
          </w:p>
        </w:tc>
      </w:tr>
      <w:tr w:rsidR="000E7764" w:rsidTr="002843DD">
        <w:tc>
          <w:tcPr>
            <w:tcW w:w="1059" w:type="dxa"/>
          </w:tcPr>
          <w:p w:rsidR="000E7764" w:rsidRDefault="000E7764" w:rsidP="002843DD">
            <w:pPr>
              <w:jc w:val="both"/>
            </w:pPr>
          </w:p>
        </w:tc>
        <w:tc>
          <w:tcPr>
            <w:tcW w:w="4181" w:type="dxa"/>
          </w:tcPr>
          <w:p w:rsidR="000E7764" w:rsidRDefault="000E7764" w:rsidP="002843DD">
            <w:pPr>
              <w:jc w:val="both"/>
            </w:pPr>
          </w:p>
        </w:tc>
        <w:tc>
          <w:tcPr>
            <w:tcW w:w="2126" w:type="dxa"/>
          </w:tcPr>
          <w:p w:rsidR="000E7764" w:rsidRDefault="000E7764" w:rsidP="002843DD">
            <w:pPr>
              <w:jc w:val="both"/>
            </w:pPr>
          </w:p>
        </w:tc>
        <w:tc>
          <w:tcPr>
            <w:tcW w:w="1843" w:type="dxa"/>
          </w:tcPr>
          <w:p w:rsidR="000E7764" w:rsidRDefault="000E7764" w:rsidP="002843DD">
            <w:pPr>
              <w:jc w:val="both"/>
            </w:pPr>
          </w:p>
        </w:tc>
      </w:tr>
      <w:tr w:rsidR="000E7764" w:rsidTr="002843DD">
        <w:tc>
          <w:tcPr>
            <w:tcW w:w="1059" w:type="dxa"/>
          </w:tcPr>
          <w:p w:rsidR="000E7764" w:rsidRDefault="000E7764" w:rsidP="002843DD">
            <w:pPr>
              <w:jc w:val="both"/>
            </w:pPr>
          </w:p>
        </w:tc>
        <w:tc>
          <w:tcPr>
            <w:tcW w:w="4181" w:type="dxa"/>
          </w:tcPr>
          <w:p w:rsidR="000E7764" w:rsidRDefault="000E7764" w:rsidP="002843DD">
            <w:pPr>
              <w:jc w:val="both"/>
            </w:pPr>
          </w:p>
        </w:tc>
        <w:tc>
          <w:tcPr>
            <w:tcW w:w="2126" w:type="dxa"/>
          </w:tcPr>
          <w:p w:rsidR="000E7764" w:rsidRDefault="000E7764" w:rsidP="002843DD">
            <w:pPr>
              <w:jc w:val="both"/>
            </w:pPr>
          </w:p>
        </w:tc>
        <w:tc>
          <w:tcPr>
            <w:tcW w:w="1843" w:type="dxa"/>
          </w:tcPr>
          <w:p w:rsidR="000E7764" w:rsidRDefault="000E7764" w:rsidP="002843DD">
            <w:pPr>
              <w:jc w:val="both"/>
            </w:pPr>
          </w:p>
        </w:tc>
      </w:tr>
      <w:tr w:rsidR="000E7764" w:rsidTr="002843DD">
        <w:tc>
          <w:tcPr>
            <w:tcW w:w="1059" w:type="dxa"/>
          </w:tcPr>
          <w:p w:rsidR="000E7764" w:rsidRPr="000E7764" w:rsidRDefault="000E7764" w:rsidP="002843DD">
            <w:pPr>
              <w:jc w:val="both"/>
              <w:rPr>
                <w:b/>
              </w:rPr>
            </w:pPr>
            <w:r w:rsidRPr="000E7764">
              <w:rPr>
                <w:b/>
              </w:rPr>
              <w:t>CELKEM</w:t>
            </w:r>
          </w:p>
        </w:tc>
        <w:tc>
          <w:tcPr>
            <w:tcW w:w="4181" w:type="dxa"/>
          </w:tcPr>
          <w:p w:rsidR="000E7764" w:rsidRPr="000E7764" w:rsidRDefault="000E7764" w:rsidP="002843DD">
            <w:pPr>
              <w:jc w:val="both"/>
              <w:rPr>
                <w:b/>
              </w:rPr>
            </w:pPr>
            <w:r w:rsidRPr="000E7764">
              <w:rPr>
                <w:b/>
              </w:rPr>
              <w:t xml:space="preserve">NÁKLADY NA </w:t>
            </w:r>
            <w:r w:rsidR="002C2F75">
              <w:rPr>
                <w:b/>
              </w:rPr>
              <w:t>INVESTICE</w:t>
            </w:r>
          </w:p>
        </w:tc>
        <w:tc>
          <w:tcPr>
            <w:tcW w:w="2126" w:type="dxa"/>
          </w:tcPr>
          <w:p w:rsidR="000E7764" w:rsidRPr="000E7764" w:rsidRDefault="00CF0245" w:rsidP="002843DD">
            <w:pPr>
              <w:jc w:val="both"/>
              <w:rPr>
                <w:b/>
              </w:rPr>
            </w:pPr>
            <w:r>
              <w:rPr>
                <w:b/>
              </w:rPr>
              <w:t>10</w:t>
            </w:r>
            <w:r w:rsidR="000E7764" w:rsidRPr="000E7764">
              <w:rPr>
                <w:b/>
              </w:rPr>
              <w:t>.</w:t>
            </w:r>
            <w:r>
              <w:rPr>
                <w:b/>
              </w:rPr>
              <w:t>3</w:t>
            </w:r>
            <w:bookmarkStart w:id="0" w:name="_GoBack"/>
            <w:bookmarkEnd w:id="0"/>
            <w:r w:rsidR="000E7764">
              <w:rPr>
                <w:b/>
              </w:rPr>
              <w:t>00</w:t>
            </w:r>
            <w:r w:rsidR="000E7764" w:rsidRPr="000E7764">
              <w:rPr>
                <w:b/>
              </w:rPr>
              <w:t xml:space="preserve"> tis. Kč</w:t>
            </w:r>
          </w:p>
        </w:tc>
        <w:tc>
          <w:tcPr>
            <w:tcW w:w="1843" w:type="dxa"/>
          </w:tcPr>
          <w:p w:rsidR="000E7764" w:rsidRPr="000E7764" w:rsidRDefault="000E7764" w:rsidP="002843DD">
            <w:pPr>
              <w:jc w:val="both"/>
              <w:rPr>
                <w:b/>
              </w:rPr>
            </w:pPr>
          </w:p>
        </w:tc>
      </w:tr>
    </w:tbl>
    <w:p w:rsidR="00D47104" w:rsidRDefault="00D47104" w:rsidP="00D47104">
      <w:pPr>
        <w:jc w:val="both"/>
      </w:pPr>
    </w:p>
    <w:p w:rsidR="00D47104" w:rsidRDefault="003E4799" w:rsidP="00D47104">
      <w:pPr>
        <w:jc w:val="both"/>
      </w:pPr>
      <w:r>
        <w:t>Všechny uvedené položky vychází z</w:t>
      </w:r>
      <w:r w:rsidR="00382CA3">
        <w:t xml:space="preserve"> aktuálně dostupných podkladů. Další posouzení upřesní charakter  a podobu vypouštěcího objektu, rozměr </w:t>
      </w:r>
      <w:r w:rsidR="002B6E4D">
        <w:t xml:space="preserve">a tvar </w:t>
      </w:r>
      <w:r w:rsidR="00382CA3">
        <w:t>přelivu, skutečný stav zanesení apod. Výše uvedené částky je tedy nutno brát jako orientační, rozpočtově stanovené na základě již realizované obdobné akce.</w:t>
      </w:r>
    </w:p>
    <w:p w:rsidR="00D47104" w:rsidRPr="00D47104" w:rsidRDefault="00D47104" w:rsidP="00D47104">
      <w:pPr>
        <w:jc w:val="both"/>
      </w:pPr>
    </w:p>
    <w:sectPr w:rsidR="00D47104" w:rsidRPr="00D47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4CF9"/>
    <w:multiLevelType w:val="hybridMultilevel"/>
    <w:tmpl w:val="0A26C9B4"/>
    <w:lvl w:ilvl="0" w:tplc="AD4E0F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04"/>
    <w:rsid w:val="000E7764"/>
    <w:rsid w:val="000F08C9"/>
    <w:rsid w:val="002B536F"/>
    <w:rsid w:val="002B6E4D"/>
    <w:rsid w:val="002C2F75"/>
    <w:rsid w:val="00382CA3"/>
    <w:rsid w:val="003E4799"/>
    <w:rsid w:val="00582B26"/>
    <w:rsid w:val="0067325F"/>
    <w:rsid w:val="009D3088"/>
    <w:rsid w:val="00A25534"/>
    <w:rsid w:val="00CF0245"/>
    <w:rsid w:val="00D47104"/>
    <w:rsid w:val="00EA7A57"/>
    <w:rsid w:val="00F218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24CF2"/>
  <w15:chartTrackingRefBased/>
  <w15:docId w15:val="{38C8267A-D5D5-4383-B863-BE90019E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47104"/>
    <w:pPr>
      <w:ind w:left="720"/>
      <w:contextualSpacing/>
    </w:pPr>
  </w:style>
  <w:style w:type="table" w:styleId="Mkatabulky">
    <w:name w:val="Table Grid"/>
    <w:basedOn w:val="Normlntabulka"/>
    <w:uiPriority w:val="39"/>
    <w:rsid w:val="00582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F08C9"/>
    <w:rPr>
      <w:sz w:val="16"/>
      <w:szCs w:val="16"/>
    </w:rPr>
  </w:style>
  <w:style w:type="paragraph" w:styleId="Textkomente">
    <w:name w:val="annotation text"/>
    <w:basedOn w:val="Normln"/>
    <w:link w:val="TextkomenteChar"/>
    <w:uiPriority w:val="99"/>
    <w:semiHidden/>
    <w:unhideWhenUsed/>
    <w:rsid w:val="000F08C9"/>
    <w:pPr>
      <w:spacing w:line="240" w:lineRule="auto"/>
    </w:pPr>
    <w:rPr>
      <w:sz w:val="20"/>
      <w:szCs w:val="20"/>
    </w:rPr>
  </w:style>
  <w:style w:type="character" w:customStyle="1" w:styleId="TextkomenteChar">
    <w:name w:val="Text komentáře Char"/>
    <w:basedOn w:val="Standardnpsmoodstavce"/>
    <w:link w:val="Textkomente"/>
    <w:uiPriority w:val="99"/>
    <w:semiHidden/>
    <w:rsid w:val="000F08C9"/>
    <w:rPr>
      <w:sz w:val="20"/>
      <w:szCs w:val="20"/>
    </w:rPr>
  </w:style>
  <w:style w:type="paragraph" w:styleId="Pedmtkomente">
    <w:name w:val="annotation subject"/>
    <w:basedOn w:val="Textkomente"/>
    <w:next w:val="Textkomente"/>
    <w:link w:val="PedmtkomenteChar"/>
    <w:uiPriority w:val="99"/>
    <w:semiHidden/>
    <w:unhideWhenUsed/>
    <w:rsid w:val="000F08C9"/>
    <w:rPr>
      <w:b/>
      <w:bCs/>
    </w:rPr>
  </w:style>
  <w:style w:type="character" w:customStyle="1" w:styleId="PedmtkomenteChar">
    <w:name w:val="Předmět komentáře Char"/>
    <w:basedOn w:val="TextkomenteChar"/>
    <w:link w:val="Pedmtkomente"/>
    <w:uiPriority w:val="99"/>
    <w:semiHidden/>
    <w:rsid w:val="000F08C9"/>
    <w:rPr>
      <w:b/>
      <w:bCs/>
      <w:sz w:val="20"/>
      <w:szCs w:val="20"/>
    </w:rPr>
  </w:style>
  <w:style w:type="paragraph" w:styleId="Textbubliny">
    <w:name w:val="Balloon Text"/>
    <w:basedOn w:val="Normln"/>
    <w:link w:val="TextbublinyChar"/>
    <w:uiPriority w:val="99"/>
    <w:semiHidden/>
    <w:unhideWhenUsed/>
    <w:rsid w:val="000F08C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F08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463</Words>
  <Characters>2738</Characters>
  <Application>Microsoft Office Word</Application>
  <DocSecurity>4</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Čížek David</dc:creator>
  <cp:keywords/>
  <dc:description/>
  <cp:lastModifiedBy>Čížek David</cp:lastModifiedBy>
  <cp:revision>2</cp:revision>
  <dcterms:created xsi:type="dcterms:W3CDTF">2024-07-26T13:14:00Z</dcterms:created>
  <dcterms:modified xsi:type="dcterms:W3CDTF">2024-07-26T13:14:00Z</dcterms:modified>
</cp:coreProperties>
</file>